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41699" w14:textId="77777777" w:rsidR="002C7FF6" w:rsidRPr="00B169DF" w:rsidRDefault="00814794" w:rsidP="002C7F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/>
          <w:bCs/>
        </w:rPr>
        <w:tab/>
      </w:r>
      <w:r w:rsidR="002C7FF6" w:rsidRPr="00FE0F41">
        <w:rPr>
          <w:rFonts w:ascii="Corbel" w:hAnsi="Corbel"/>
          <w:bCs/>
          <w:i/>
        </w:rPr>
        <w:t>Załącznik nr 1.5 do Zarządzenia Rektora UR nr 61/2025</w:t>
      </w:r>
    </w:p>
    <w:p w14:paraId="4023A3DA" w14:textId="77777777" w:rsidR="002C7FF6" w:rsidRPr="00B169DF" w:rsidRDefault="002C7FF6" w:rsidP="002C7FF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251CBD8" w14:textId="77777777" w:rsidR="002C7FF6" w:rsidRPr="00B169DF" w:rsidRDefault="002C7FF6" w:rsidP="002C7FF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705FBA8" w14:textId="77777777" w:rsidR="002C7FF6" w:rsidRPr="00B169DF" w:rsidRDefault="002C7FF6" w:rsidP="002C7FF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B941BE0" w14:textId="77777777" w:rsidR="002C7FF6" w:rsidRPr="00B169DF" w:rsidRDefault="002C7FF6" w:rsidP="002C7F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762845D6" w14:textId="4BFE0A8F" w:rsidR="0022441A" w:rsidRDefault="0022441A" w:rsidP="002C7FF6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20C1251" w14:textId="77777777" w:rsidR="0022441A" w:rsidRDefault="0081479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22441A" w14:paraId="1345EE36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4C60" w14:textId="77777777" w:rsidR="0022441A" w:rsidRDefault="0081479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9B308" w14:textId="77777777" w:rsidR="0022441A" w:rsidRDefault="0081479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Relacje międzykulturowe w epoce średniowiecza</w:t>
            </w:r>
          </w:p>
        </w:tc>
      </w:tr>
      <w:tr w:rsidR="0022441A" w14:paraId="3C0CE0BF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038D9" w14:textId="77777777" w:rsidR="0022441A" w:rsidRDefault="0081479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1D59D" w14:textId="77777777" w:rsidR="0022441A" w:rsidRDefault="0022441A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C7FF6" w14:paraId="14551885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6CAC3" w14:textId="77777777" w:rsidR="002C7FF6" w:rsidRDefault="002C7FF6" w:rsidP="002C7FF6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90B3" w14:textId="289A87DF" w:rsidR="002C7FF6" w:rsidRDefault="002C7FF6" w:rsidP="002C7FF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2C7FF6" w14:paraId="355D36C2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529A" w14:textId="77777777" w:rsidR="002C7FF6" w:rsidRDefault="002C7FF6" w:rsidP="002C7FF6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F9ED4" w14:textId="06E868D5" w:rsidR="002C7FF6" w:rsidRDefault="002C7FF6" w:rsidP="002C7FF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22441A" w14:paraId="54197CCF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A812C" w14:textId="77777777" w:rsidR="0022441A" w:rsidRDefault="0081479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A66E0" w14:textId="77777777" w:rsidR="0022441A" w:rsidRDefault="0081479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22441A" w14:paraId="7C039B7B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FE71" w14:textId="77777777" w:rsidR="0022441A" w:rsidRDefault="0081479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F2ECF" w14:textId="77777777" w:rsidR="0022441A" w:rsidRDefault="0081479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2441A" w14:paraId="798FE63B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0A72F" w14:textId="77777777" w:rsidR="0022441A" w:rsidRDefault="0081479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A8652" w14:textId="77777777" w:rsidR="0022441A" w:rsidRDefault="0081479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2441A" w14:paraId="70722360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05B99" w14:textId="77777777" w:rsidR="0022441A" w:rsidRDefault="0081479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6C14A" w14:textId="77777777" w:rsidR="0022441A" w:rsidRDefault="00814794">
            <w:pPr>
              <w:pStyle w:val="Odpowiedzi"/>
              <w:widowControl w:val="0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studia stacjonarne</w:t>
            </w:r>
          </w:p>
        </w:tc>
      </w:tr>
      <w:tr w:rsidR="0022441A" w14:paraId="57C472AF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FE80" w14:textId="77777777" w:rsidR="0022441A" w:rsidRDefault="0081479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7729B" w14:textId="77777777" w:rsidR="0022441A" w:rsidRDefault="00814794">
            <w:pPr>
              <w:pStyle w:val="Odpowiedzi"/>
              <w:widowControl w:val="0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rok 2, semestr 3</w:t>
            </w:r>
          </w:p>
        </w:tc>
      </w:tr>
      <w:tr w:rsidR="0022441A" w14:paraId="58477351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07D44" w14:textId="77777777" w:rsidR="0022441A" w:rsidRDefault="0081479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25D70" w14:textId="77777777" w:rsidR="0022441A" w:rsidRDefault="00814794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</w:t>
            </w:r>
          </w:p>
        </w:tc>
      </w:tr>
      <w:tr w:rsidR="0022441A" w14:paraId="26D96254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FDE44" w14:textId="77777777" w:rsidR="0022441A" w:rsidRDefault="0081479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EA981" w14:textId="77777777" w:rsidR="0022441A" w:rsidRDefault="00814794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2441A" w14:paraId="43BB48A5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DE749" w14:textId="77777777" w:rsidR="0022441A" w:rsidRDefault="0081479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D341" w14:textId="77777777" w:rsidR="0022441A" w:rsidRDefault="0004100A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4100A">
              <w:rPr>
                <w:rFonts w:ascii="Corbel" w:hAnsi="Corbel"/>
                <w:b w:val="0"/>
                <w:sz w:val="24"/>
                <w:szCs w:val="24"/>
              </w:rPr>
              <w:t>Leszek Poniewozik</w:t>
            </w:r>
          </w:p>
        </w:tc>
      </w:tr>
      <w:tr w:rsidR="0022441A" w14:paraId="1BC6AF72" w14:textId="77777777" w:rsidTr="002C7FF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EA83A" w14:textId="77777777" w:rsidR="0022441A" w:rsidRDefault="0081479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87B15" w14:textId="77777777" w:rsidR="0022441A" w:rsidRDefault="0081479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Leszek Poniewozik</w:t>
            </w:r>
          </w:p>
        </w:tc>
      </w:tr>
    </w:tbl>
    <w:p w14:paraId="30457897" w14:textId="77777777" w:rsidR="0022441A" w:rsidRDefault="0081479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42FF9F7" w14:textId="77777777" w:rsidR="0022441A" w:rsidRDefault="0022441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957303" w14:textId="77777777" w:rsidR="0022441A" w:rsidRDefault="0081479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6A24B6" w14:textId="77777777" w:rsidR="0022441A" w:rsidRDefault="0022441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48"/>
        <w:gridCol w:w="804"/>
        <w:gridCol w:w="822"/>
        <w:gridCol w:w="762"/>
        <w:gridCol w:w="951"/>
        <w:gridCol w:w="1190"/>
        <w:gridCol w:w="1501"/>
      </w:tblGrid>
      <w:tr w:rsidR="0022441A" w14:paraId="0B282512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463E" w14:textId="77777777" w:rsidR="0022441A" w:rsidRDefault="00814794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06701F" w14:textId="77777777" w:rsidR="0022441A" w:rsidRDefault="00814794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8268F" w14:textId="77777777" w:rsidR="0022441A" w:rsidRDefault="00814794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C18DB" w14:textId="77777777" w:rsidR="0022441A" w:rsidRDefault="00814794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292C0" w14:textId="77777777" w:rsidR="0022441A" w:rsidRDefault="00814794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4C010" w14:textId="77777777" w:rsidR="0022441A" w:rsidRDefault="00814794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930BB" w14:textId="77777777" w:rsidR="0022441A" w:rsidRDefault="00814794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F46C8" w14:textId="77777777" w:rsidR="0022441A" w:rsidRDefault="00814794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B401F" w14:textId="77777777" w:rsidR="0022441A" w:rsidRDefault="00814794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7BA75" w14:textId="77777777" w:rsidR="0022441A" w:rsidRDefault="00814794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8E223" w14:textId="77777777" w:rsidR="0022441A" w:rsidRDefault="00814794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2441A" w14:paraId="7EE85EEB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DA8A" w14:textId="77777777" w:rsidR="0022441A" w:rsidRDefault="0004100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6A00C" w14:textId="77777777" w:rsidR="0022441A" w:rsidRDefault="0081479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6C3DF" w14:textId="77777777" w:rsidR="0022441A" w:rsidRDefault="0081479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54836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FFF62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51C2E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6F8C9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31C54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265D0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87EE1" w14:textId="77777777" w:rsidR="0022441A" w:rsidRDefault="0081479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2441A" w14:paraId="0FEF32AF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E4DC4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A1D5C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455D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CCD6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1598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E389E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EDB6B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45F6E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DC458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24574" w14:textId="77777777" w:rsidR="0022441A" w:rsidRDefault="0022441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78183F" w14:textId="77777777" w:rsidR="0022441A" w:rsidRDefault="0022441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71D54" w14:textId="77777777" w:rsidR="0022441A" w:rsidRDefault="0022441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3CDD55" w14:textId="77777777" w:rsidR="0022441A" w:rsidRDefault="0081479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903DA18" w14:textId="77777777" w:rsidR="0022441A" w:rsidRDefault="008147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3D2D138" w14:textId="77777777" w:rsidR="0022441A" w:rsidRDefault="008147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1069E" w14:textId="77777777" w:rsidR="0022441A" w:rsidRDefault="002244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57BADB" w14:textId="77777777" w:rsidR="0022441A" w:rsidRDefault="0081479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84D23" w14:textId="77777777" w:rsidR="0022441A" w:rsidRDefault="0081479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zaliczenie</w:t>
      </w:r>
    </w:p>
    <w:p w14:paraId="52A3E891" w14:textId="77777777" w:rsidR="0022441A" w:rsidRDefault="0081479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751DECFF" w14:textId="77777777" w:rsidR="0022441A" w:rsidRDefault="002244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19E92D" w14:textId="77777777" w:rsidR="0022441A" w:rsidRDefault="0081479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2441A" w14:paraId="02B45B6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249C" w14:textId="77777777" w:rsidR="0022441A" w:rsidRDefault="00814794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średniowiecza – głównie w aspekcie kulturowym i społecznym</w:t>
            </w:r>
          </w:p>
          <w:p w14:paraId="3A705687" w14:textId="77777777" w:rsidR="0022441A" w:rsidRDefault="0022441A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C242B07" w14:textId="77777777" w:rsidR="0022441A" w:rsidRDefault="0022441A">
      <w:pPr>
        <w:pStyle w:val="Punktygwne"/>
        <w:spacing w:before="0" w:after="0"/>
        <w:rPr>
          <w:rFonts w:ascii="Corbel" w:hAnsi="Corbel"/>
          <w:szCs w:val="24"/>
        </w:rPr>
      </w:pPr>
    </w:p>
    <w:p w14:paraId="7293A1DB" w14:textId="77777777" w:rsidR="0022441A" w:rsidRDefault="0081479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4B53822" w14:textId="77777777" w:rsidR="0022441A" w:rsidRDefault="0022441A">
      <w:pPr>
        <w:pStyle w:val="Punktygwne"/>
        <w:spacing w:before="0" w:after="0"/>
        <w:rPr>
          <w:rFonts w:ascii="Corbel" w:hAnsi="Corbel"/>
          <w:szCs w:val="24"/>
        </w:rPr>
      </w:pPr>
    </w:p>
    <w:p w14:paraId="573747A4" w14:textId="77777777" w:rsidR="0022441A" w:rsidRDefault="0081479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EC44FDE" w14:textId="77777777" w:rsidR="0022441A" w:rsidRDefault="0022441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22441A" w14:paraId="2897DD07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8EA10" w14:textId="77777777" w:rsidR="0022441A" w:rsidRDefault="0081479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FBD" w14:textId="77777777" w:rsidR="0022441A" w:rsidRDefault="0081479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głównych obszarów wymiany międzykulturowej w epoce średniowiecza</w:t>
            </w:r>
          </w:p>
        </w:tc>
      </w:tr>
      <w:tr w:rsidR="0022441A" w14:paraId="116A4269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72770" w14:textId="77777777" w:rsidR="0022441A" w:rsidRDefault="0081479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0E1FB" w14:textId="77777777" w:rsidR="0022441A" w:rsidRDefault="0081479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Określenie specyfiki kontaków międzykulturowych w wiekach średnich</w:t>
            </w:r>
          </w:p>
        </w:tc>
      </w:tr>
      <w:tr w:rsidR="0022441A" w14:paraId="481316A6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28306" w14:textId="77777777" w:rsidR="0022441A" w:rsidRDefault="0081479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93E98" w14:textId="77777777" w:rsidR="0022441A" w:rsidRDefault="0022441A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F58B872" w14:textId="77777777" w:rsidR="0022441A" w:rsidRDefault="0022441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A8B499" w14:textId="77777777" w:rsidR="0022441A" w:rsidRDefault="0081479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8251A7D" w14:textId="77777777" w:rsidR="0022441A" w:rsidRDefault="0022441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2441A" w14:paraId="64A7147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FD22" w14:textId="77777777" w:rsidR="0022441A" w:rsidRDefault="0081479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CE562" w14:textId="77777777" w:rsidR="0022441A" w:rsidRDefault="0081479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8A6E3" w14:textId="77777777" w:rsidR="0022441A" w:rsidRDefault="0081479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2441A" w14:paraId="549A34E8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6721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62E2" w14:textId="2CE3117D" w:rsidR="0022441A" w:rsidRDefault="00814794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zna i rozumie w zaawansowanym stopniu znaczenie wiedzy o komunikowaniu międzykulturowym w systemie nauk oraz jej specyfikę metodologiczną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68B7" w14:textId="3366A6BF" w:rsidR="0022441A" w:rsidRDefault="004F4BD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2441A" w14:paraId="2D46E11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8F02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1AB1" w14:textId="72D39BBC" w:rsidR="0022441A" w:rsidRDefault="00814794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zna i rozumie terminologię z zakresu wiedzy o kulturze i komunikacji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BF68" w14:textId="34C8A0D4" w:rsidR="0022441A" w:rsidRDefault="004F4BD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K_W02 </w:t>
            </w:r>
          </w:p>
        </w:tc>
      </w:tr>
      <w:tr w:rsidR="0022441A" w14:paraId="20869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B67A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6239D" w14:textId="69593FC1" w:rsidR="0022441A" w:rsidRDefault="00814794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potrafi wyszukiwać, analizować, oceniać, selekcjonować i użytkować informacje z dziedziny kultury z wykorzystaniem różnych źródeł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07D8" w14:textId="46429D18" w:rsidR="0022441A" w:rsidRDefault="004F4BD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K_U01 </w:t>
            </w:r>
          </w:p>
        </w:tc>
      </w:tr>
      <w:tr w:rsidR="0022441A" w14:paraId="019BA168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42725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A796" w14:textId="13B95D50" w:rsidR="0022441A" w:rsidRDefault="00814794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potrafi posługując się właściwymi ujęciami teoretycznym rozpoznać, zinterpretować i analizować krytycznie różnego rodzaju wytwory kultury i określić ich rangę w procesie komunikacji międzykulturowej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E39C" w14:textId="2CEDE1F9" w:rsidR="0022441A" w:rsidRDefault="004F4BD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K_U03 </w:t>
            </w:r>
          </w:p>
        </w:tc>
      </w:tr>
      <w:tr w:rsidR="0022441A" w14:paraId="680C2FA2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BC11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B53C" w14:textId="328D000B" w:rsidR="0022441A" w:rsidRDefault="00814794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jest gotów do krytycznej oceny posiadanej przez siebie wiedzy,</w:t>
            </w:r>
          </w:p>
          <w:p w14:paraId="2EC7BB08" w14:textId="77777777" w:rsidR="0022441A" w:rsidRDefault="00814794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przyjmowania nowych idei, zmiany opinii w świetle</w:t>
            </w:r>
          </w:p>
          <w:p w14:paraId="3F5EDBAD" w14:textId="3C3622AF" w:rsidR="0022441A" w:rsidRDefault="00814794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dostępnych nowych argumentów</w:t>
            </w:r>
            <w:r w:rsidR="004F4BD8">
              <w:rPr>
                <w:rFonts w:ascii="Corbel" w:hAnsi="Corbel"/>
                <w:sz w:val="24"/>
                <w:szCs w:val="24"/>
              </w:rPr>
              <w:t xml:space="preserve">, </w:t>
            </w:r>
            <w:r w:rsidR="004F4BD8">
              <w:rPr>
                <w:rFonts w:ascii="Corbel" w:hAnsi="Corbel"/>
                <w:sz w:val="24"/>
                <w:szCs w:val="24"/>
              </w:rPr>
              <w:t>kooperacji przy realizacji celów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5769" w14:textId="74DE5185" w:rsidR="0022441A" w:rsidRDefault="004F4BD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2441A" w14:paraId="402E8BCA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78C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9CB4" w14:textId="1672121A" w:rsidR="0022441A" w:rsidRDefault="00814794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 w:rsidR="004F4BD8" w:rsidRPr="004F4BD8">
              <w:rPr>
                <w:rFonts w:ascii="Corbel" w:hAnsi="Corbel"/>
                <w:sz w:val="24"/>
                <w:szCs w:val="24"/>
              </w:rPr>
              <w:t>samodzielnego inicjowania działań na rzecz kultury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6CDF" w14:textId="2BF6D860" w:rsidR="0022441A" w:rsidRDefault="004F4BD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4B5A9FC" w14:textId="77777777" w:rsidR="0022441A" w:rsidRDefault="002244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70E13" w14:textId="77777777" w:rsidR="0022441A" w:rsidRDefault="0081479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8F3CD76" w14:textId="77777777" w:rsidR="0022441A" w:rsidRDefault="0081479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C1E0A8B" w14:textId="77777777" w:rsidR="0022441A" w:rsidRDefault="0022441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7877F2B" w14:textId="77777777" w:rsidR="0022441A" w:rsidRDefault="0022441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22441A" w14:paraId="1D74A41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5417" w14:textId="77777777" w:rsidR="0022441A" w:rsidRDefault="00814794">
            <w:pPr>
              <w:pStyle w:val="Akapitzlist"/>
              <w:widowControl w:val="0"/>
              <w:spacing w:after="0" w:line="240" w:lineRule="auto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441A" w14:paraId="4B8D4C88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CC03" w14:textId="77777777" w:rsidR="0022441A" w:rsidRDefault="00814794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Przedstawienie zagadnień związanych z tematyką ćwiczeń poszerzone o tło kulturowe i społeczne oraz w ograniczonym zakresie gospodarcze i polityczne.</w:t>
            </w:r>
          </w:p>
        </w:tc>
      </w:tr>
    </w:tbl>
    <w:p w14:paraId="06BDD527" w14:textId="77777777" w:rsidR="0022441A" w:rsidRDefault="0022441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A6E12E" w14:textId="77777777" w:rsidR="0022441A" w:rsidRDefault="0081479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0C197B67" w14:textId="77777777" w:rsidR="0022441A" w:rsidRDefault="0022441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22441A" w14:paraId="38B3D3C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E227" w14:textId="77777777" w:rsidR="0022441A" w:rsidRDefault="00814794">
            <w:pPr>
              <w:pStyle w:val="Akapitzlist"/>
              <w:widowControl w:val="0"/>
              <w:spacing w:after="0" w:line="240" w:lineRule="auto"/>
              <w:ind w:left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441A" w14:paraId="24B6391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2CF2" w14:textId="77777777" w:rsidR="0022441A" w:rsidRDefault="00814794">
            <w:pPr>
              <w:widowContro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Chrześcijaństwo a spuścizna pogańskiego antyku.</w:t>
            </w:r>
          </w:p>
        </w:tc>
      </w:tr>
      <w:tr w:rsidR="0022441A" w14:paraId="24CA28B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5CB9" w14:textId="77777777" w:rsidR="0022441A" w:rsidRDefault="00814794">
            <w:pPr>
              <w:widowControl w:val="0"/>
            </w:pPr>
            <w:r>
              <w:rPr>
                <w:rFonts w:ascii="Corbel" w:hAnsi="Corbel"/>
                <w:sz w:val="24"/>
                <w:szCs w:val="24"/>
              </w:rPr>
              <w:t>Rzymianie i Goci, reprezentanci kultury antycznej i barbarzyńcy, katolicy i arianie – ścieranie się odmienności w świecie po upadku cesarstwa zachodniorzymskiego.</w:t>
            </w:r>
          </w:p>
        </w:tc>
      </w:tr>
      <w:tr w:rsidR="0022441A" w14:paraId="609E846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7933" w14:textId="77777777" w:rsidR="0022441A" w:rsidRDefault="00814794">
            <w:pPr>
              <w:widowControl w:val="0"/>
            </w:pPr>
            <w:r>
              <w:rPr>
                <w:rFonts w:ascii="Corbel" w:hAnsi="Corbel"/>
                <w:sz w:val="24"/>
                <w:szCs w:val="24"/>
              </w:rPr>
              <w:t>Różnice religijne we wczesnośredniowiecznym chrześcijaństwie na przykładzie ikonoklazmu.</w:t>
            </w:r>
          </w:p>
        </w:tc>
      </w:tr>
      <w:tr w:rsidR="0022441A" w14:paraId="5F012C99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9319D" w14:textId="77777777" w:rsidR="0022441A" w:rsidRDefault="00814794">
            <w:pPr>
              <w:widowContro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Chrystianizacja nowych części Europy – konwersja Islandii i Rusi w wymiarze społecznym i kulturowym.</w:t>
            </w:r>
          </w:p>
        </w:tc>
      </w:tr>
      <w:tr w:rsidR="0022441A" w14:paraId="1412E99C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DE3F" w14:textId="77777777" w:rsidR="0022441A" w:rsidRDefault="00814794">
            <w:pPr>
              <w:widowControl w:val="0"/>
            </w:pPr>
            <w:r>
              <w:rPr>
                <w:rFonts w:ascii="Corbel" w:hAnsi="Corbel"/>
                <w:sz w:val="24"/>
                <w:szCs w:val="24"/>
              </w:rPr>
              <w:t>Europejczycy i wyznawcy islamu – relacje obu społeczności w Ziemi Świętej i Hiszpanii.</w:t>
            </w:r>
          </w:p>
        </w:tc>
      </w:tr>
      <w:tr w:rsidR="0022441A" w14:paraId="6511954C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CD87" w14:textId="77777777" w:rsidR="0022441A" w:rsidRDefault="00814794">
            <w:pPr>
              <w:widowControl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Odkrywanie nowego świata – Mongołowie w relacjach Europejczyków.</w:t>
            </w:r>
          </w:p>
        </w:tc>
      </w:tr>
    </w:tbl>
    <w:p w14:paraId="6E997BF8" w14:textId="77777777" w:rsidR="0022441A" w:rsidRDefault="0022441A">
      <w:pPr>
        <w:pStyle w:val="Punktygwne"/>
        <w:spacing w:before="0" w:after="0"/>
        <w:ind w:left="1080"/>
        <w:jc w:val="both"/>
        <w:rPr>
          <w:rFonts w:ascii="Corbel" w:hAnsi="Corbel"/>
          <w:b w:val="0"/>
          <w:szCs w:val="24"/>
        </w:rPr>
      </w:pPr>
    </w:p>
    <w:p w14:paraId="1135C07F" w14:textId="77777777" w:rsidR="0022441A" w:rsidRDefault="0081479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56269516" w14:textId="77777777" w:rsidR="0022441A" w:rsidRDefault="002244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25BBD" w14:textId="77777777" w:rsidR="0022441A" w:rsidRDefault="0081479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problemowy, wykład z prezentacją multimedialną</w:t>
      </w:r>
    </w:p>
    <w:p w14:paraId="23F626F9" w14:textId="77777777" w:rsidR="0022441A" w:rsidRDefault="0022441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541D29C" w14:textId="77777777" w:rsidR="0022441A" w:rsidRDefault="0081479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analiza tekstów źródłowych z dyskusją, praca w grupach</w:t>
      </w:r>
    </w:p>
    <w:p w14:paraId="39396E55" w14:textId="77777777" w:rsidR="0022441A" w:rsidRDefault="0022441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B4A8D8A" w14:textId="77777777" w:rsidR="0022441A" w:rsidRDefault="0081479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14:paraId="2624DF18" w14:textId="77777777" w:rsidR="0022441A" w:rsidRDefault="0081479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F8F6E36" w14:textId="77777777" w:rsidR="0022441A" w:rsidRDefault="0081479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6C840D4B" w14:textId="77777777" w:rsidR="0022441A" w:rsidRDefault="0081479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20FEE3DE" w14:textId="77777777" w:rsidR="0022441A" w:rsidRDefault="002244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88B98" w14:textId="77777777" w:rsidR="0022441A" w:rsidRDefault="0081479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44903F27" w14:textId="77777777" w:rsidR="0022441A" w:rsidRDefault="002244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D39B99" w14:textId="77777777" w:rsidR="0022441A" w:rsidRDefault="008147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D053405" w14:textId="77777777" w:rsidR="0022441A" w:rsidRDefault="002244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22441A" w14:paraId="4376FB9E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96BFA" w14:textId="77777777" w:rsidR="0022441A" w:rsidRDefault="0081479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00639" w14:textId="77777777" w:rsidR="0022441A" w:rsidRDefault="0081479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F1B9F96" w14:textId="77777777" w:rsidR="0022441A" w:rsidRDefault="0081479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60008" w14:textId="77777777" w:rsidR="0022441A" w:rsidRDefault="0081479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13FBF1C6" w14:textId="77777777" w:rsidR="0022441A" w:rsidRDefault="0081479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2441A" w14:paraId="5013EF9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A933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EA55" w14:textId="77777777" w:rsidR="0022441A" w:rsidRDefault="0081479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(dla chętnych)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B2CA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2441A" w14:paraId="53C04228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B1F2A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67A6" w14:textId="77777777" w:rsidR="0022441A" w:rsidRDefault="0081479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 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01987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2441A" w14:paraId="152D51F7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EAF3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02DC4" w14:textId="77777777" w:rsidR="0022441A" w:rsidRDefault="0081479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 kolokwium</w:t>
            </w: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889A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2441A" w14:paraId="4B704EFA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384A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3444" w14:textId="77777777" w:rsidR="0022441A" w:rsidRDefault="0081479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(dla chętnych)</w:t>
            </w: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F630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2441A" w14:paraId="4F4E8825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2A7DC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70FF" w14:textId="77777777" w:rsidR="0022441A" w:rsidRDefault="0081479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 kolokwium</w:t>
            </w: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CAD1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2441A" w14:paraId="03E0CF0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D394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689F6" w14:textId="77777777" w:rsidR="0022441A" w:rsidRDefault="0081479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A138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14:paraId="62738979" w14:textId="77777777" w:rsidR="0022441A" w:rsidRDefault="002244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DD4CE" w14:textId="77777777" w:rsidR="0022441A" w:rsidRDefault="008147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189A140" w14:textId="77777777" w:rsidR="0022441A" w:rsidRDefault="002244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2441A" w14:paraId="56DFE9C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F9DA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</w:t>
            </w:r>
          </w:p>
          <w:p w14:paraId="18AD05BA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</w:t>
            </w:r>
          </w:p>
          <w:p w14:paraId="40C168D7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Referat na wybrany temat – dla chętnych</w:t>
            </w:r>
          </w:p>
        </w:tc>
      </w:tr>
    </w:tbl>
    <w:p w14:paraId="67176F4C" w14:textId="77777777" w:rsidR="0022441A" w:rsidRDefault="002244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59CD1" w14:textId="77777777" w:rsidR="0022441A" w:rsidRDefault="0081479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D2DA81D" w14:textId="77777777" w:rsidR="0022441A" w:rsidRDefault="002244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22441A" w14:paraId="0D98518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71E1F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B974D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2441A" w14:paraId="3775B23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22FB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B6BA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– 15 godz., ćw. - 15 godz.</w:t>
            </w:r>
          </w:p>
        </w:tc>
      </w:tr>
      <w:tr w:rsidR="0022441A" w14:paraId="7333236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3E8F6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D4D098B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1415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i ćw. - 15 godz.</w:t>
            </w:r>
          </w:p>
        </w:tc>
      </w:tr>
      <w:tr w:rsidR="0022441A" w14:paraId="7FF86DA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DB9F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B31509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F5E6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– 10 godz., ćw. - 25 godz.</w:t>
            </w:r>
          </w:p>
        </w:tc>
      </w:tr>
      <w:tr w:rsidR="0022441A" w14:paraId="2C2C893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0F49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5F86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 godzin</w:t>
            </w:r>
          </w:p>
        </w:tc>
      </w:tr>
      <w:tr w:rsidR="0022441A" w14:paraId="4A8D5B4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241F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94C0" w14:textId="77777777" w:rsidR="0022441A" w:rsidRDefault="0081479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F357E2" w14:textId="77777777" w:rsidR="0022441A" w:rsidRDefault="0081479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17F4F92" w14:textId="77777777" w:rsidR="0022441A" w:rsidRDefault="002244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1C5F0A" w14:textId="77777777" w:rsidR="0022441A" w:rsidRDefault="0081479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776FC04" w14:textId="77777777" w:rsidR="0022441A" w:rsidRDefault="0022441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22441A" w14:paraId="07F8F755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092E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20DA" w14:textId="77777777" w:rsidR="0022441A" w:rsidRDefault="0022441A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2441A" w14:paraId="398DE1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2AD4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F4A4" w14:textId="77777777" w:rsidR="0022441A" w:rsidRDefault="0022441A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03DAD5" w14:textId="77777777" w:rsidR="0022441A" w:rsidRDefault="002244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ED74D" w14:textId="77777777" w:rsidR="0022441A" w:rsidRDefault="0081479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6C6681D" w14:textId="77777777" w:rsidR="0022441A" w:rsidRDefault="002244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22441A" w14:paraId="10BEFBD6" w14:textId="77777777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CA6D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265950" w14:textId="77777777" w:rsidR="0022441A" w:rsidRDefault="0022441A">
            <w:pPr>
              <w:widowControl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</w:p>
          <w:p w14:paraId="693D4839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1. Le Goff J., Kultura średniowiecznej Europy, Warszawa 1995.</w:t>
            </w:r>
          </w:p>
          <w:p w14:paraId="6F089DB4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2. Guriewicz A., Kategorie kultury średniowiecznej, Warszawa 1976.</w:t>
            </w:r>
          </w:p>
          <w:p w14:paraId="3896EAEB" w14:textId="77777777" w:rsidR="0022441A" w:rsidRDefault="00814794">
            <w:pPr>
              <w:widowControl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3. Zientara B., Świt narodów europejskich, Warszawa 1985.</w:t>
            </w:r>
          </w:p>
        </w:tc>
      </w:tr>
      <w:tr w:rsidR="0022441A" w14:paraId="03061C61" w14:textId="77777777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F8A4" w14:textId="77777777" w:rsidR="0022441A" w:rsidRDefault="0081479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827264" w14:textId="77777777" w:rsidR="0022441A" w:rsidRDefault="0022441A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496B0C64" w14:textId="77777777" w:rsidR="0022441A" w:rsidRDefault="00814794">
            <w:pPr>
              <w:widowControl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Baynes N. H., Moss H. St., Bizancjum – wstęp do cywilizacji wschodniorzymskiej, Warszawa 1964.</w:t>
            </w:r>
          </w:p>
          <w:p w14:paraId="2AC73CA9" w14:textId="77777777" w:rsidR="0022441A" w:rsidRDefault="00814794">
            <w:pPr>
              <w:widowControl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Bloch M., Społeczeństwo feudalne, Warszawa 1981.</w:t>
            </w:r>
          </w:p>
          <w:p w14:paraId="386EDB30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3. Borawska T., Górski K., Umysłowość średniowiecza, Warszawa 1993.</w:t>
            </w:r>
          </w:p>
          <w:p w14:paraId="0FDB9855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4. Chaunu P., Czas reform. Historia religii i cywilizacji (1250-1550), Warszawa 1989.</w:t>
            </w:r>
          </w:p>
          <w:p w14:paraId="766FAAD3" w14:textId="77777777" w:rsidR="0022441A" w:rsidRDefault="00814794">
            <w:pPr>
              <w:widowControl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Crombie A. C., Nauka średniowieczna i początki nauki nowożytnej, t. I: Nauka w średniowieczu w okresie V-XIII w., Warszawa 1960.</w:t>
            </w:r>
          </w:p>
          <w:p w14:paraId="34F95877" w14:textId="77777777" w:rsidR="0022441A" w:rsidRDefault="00814794">
            <w:pPr>
              <w:widowControl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Dawson Ch., Religia i powstanie kultury zachodniej, Warszawa 1958.</w:t>
            </w:r>
          </w:p>
          <w:p w14:paraId="5CC391CA" w14:textId="77777777" w:rsidR="0022441A" w:rsidRDefault="00814794">
            <w:pPr>
              <w:widowControl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Dawson Ch., Szkice o kulturze średniowiecznej, Warszawa 1961.</w:t>
            </w:r>
          </w:p>
          <w:p w14:paraId="55BCD3F0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8. Dawson Ch., Tworzenie się Europy, Warszawa 1961.</w:t>
            </w:r>
          </w:p>
          <w:p w14:paraId="481B8B0F" w14:textId="77777777" w:rsidR="0022441A" w:rsidRDefault="00814794">
            <w:pPr>
              <w:widowControl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Duby G., Czasy katedr. Sztuka i społeczeństwo 980-1420, Warszawa 1986.</w:t>
            </w:r>
          </w:p>
          <w:p w14:paraId="63B2955D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10. Gąssowski J., Narodziny średniowiecznego świata, Wrocław 1970.</w:t>
            </w:r>
          </w:p>
          <w:p w14:paraId="55190599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11. Gilson E., Duch filozofii średniowiecznej, Warszawa 1958.</w:t>
            </w:r>
          </w:p>
          <w:p w14:paraId="3BF89F3D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12. Le Goff J., Inteligencja w wiekach średnich, Warszawa 1966.</w:t>
            </w:r>
          </w:p>
          <w:p w14:paraId="4C01CD23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13. Gumilow L., Śladami cywilizacji wielkiego stepu, Warszawa 2004.</w:t>
            </w:r>
          </w:p>
          <w:p w14:paraId="7C2799B8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14. Guriewicz A., Kultura i społeczeństwo średniowiecznej Europy: exempla XIII wieku, Warszawa 1997.</w:t>
            </w:r>
          </w:p>
          <w:p w14:paraId="1641182A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15. Guriewicz A., Problemy średniowiecznej kultury ludowej, Warszawa 1987.</w:t>
            </w:r>
          </w:p>
          <w:p w14:paraId="5A48C186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16. Haussig H. W., Historia kultury bizantyńskiej, Warszawa 1969.</w:t>
            </w:r>
          </w:p>
          <w:p w14:paraId="34350959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17. Hitti P., Dzieje Arabów, Warszawa 1969.</w:t>
            </w:r>
          </w:p>
          <w:p w14:paraId="71B462BC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18. Jastrzębowska E., Sztuka wczesnochrześcijańska, Warszawa 1988.</w:t>
            </w:r>
          </w:p>
          <w:p w14:paraId="303CCA79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19. Jurewicz O., Historia literatury bizantyńskiej, Wrocław 1984.</w:t>
            </w:r>
          </w:p>
          <w:p w14:paraId="27304752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20. Kałużyński S., Imperium mongolskie, Warszawa 1970.</w:t>
            </w:r>
          </w:p>
          <w:p w14:paraId="022CD395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21. Małowist M., Wschód a Zachód Europy w XIII-XVI w., Warszawa 19??</w:t>
            </w:r>
          </w:p>
          <w:p w14:paraId="0CBDB6DA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22. Manteuffel T., Narodziny herezji, Warszawa 1963.</w:t>
            </w:r>
          </w:p>
          <w:p w14:paraId="651C73C1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23. Mazaheri A., Życie codzienne muzułmanów w średniowieczu, Warszawa 1972.</w:t>
            </w:r>
          </w:p>
          <w:p w14:paraId="0F91AA8B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24. Mrozek A., Średniowieczna filozofia arabska, Warszawa 1967.</w:t>
            </w:r>
          </w:p>
          <w:p w14:paraId="62484F37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25. Riche P., Edukacja i kultura w Europie Zachodniej VI-VIII w., Warszawa 1995.</w:t>
            </w:r>
          </w:p>
          <w:p w14:paraId="0B13DE14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26. Runciman S., Dzieje wypraw krzyżowych t. I-III, Warszawa ???</w:t>
            </w:r>
          </w:p>
          <w:p w14:paraId="143B6ABA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27. Southern R., Kształtowanie średniowiecza, Warszawa 1970.</w:t>
            </w:r>
          </w:p>
          <w:p w14:paraId="467A23A8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28. Strzelczyk J., Goci - rzeczywistość i legenda, Warszawa 1984.</w:t>
            </w:r>
          </w:p>
          <w:p w14:paraId="56B6C5D0" w14:textId="77777777" w:rsidR="0022441A" w:rsidRDefault="00814794">
            <w:pPr>
              <w:widowControl w:val="0"/>
              <w:spacing w:after="0"/>
              <w:contextualSpacing/>
            </w:pPr>
            <w:r>
              <w:rPr>
                <w:rFonts w:ascii="Corbel" w:hAnsi="Corbel"/>
                <w:sz w:val="24"/>
                <w:szCs w:val="24"/>
              </w:rPr>
              <w:t>29. Strzelczyk J., Wandalowie i ich afrykańskie państwo, Warszawa 1992.</w:t>
            </w:r>
          </w:p>
          <w:p w14:paraId="3CCF97FA" w14:textId="77777777" w:rsidR="0022441A" w:rsidRDefault="00814794">
            <w:pPr>
              <w:widowControl w:val="0"/>
              <w:spacing w:after="0"/>
              <w:contextualSpacing/>
              <w:rPr>
                <w:rFonts w:ascii="Corbel" w:hAnsi="Corbel"/>
                <w:i/>
                <w:color w:val="000000"/>
                <w:szCs w:val="24"/>
              </w:rPr>
            </w:pP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30. Vauchez A., Duchowość średniowiecza, Gdańsk 1996.</w:t>
            </w:r>
          </w:p>
        </w:tc>
      </w:tr>
    </w:tbl>
    <w:p w14:paraId="1C7B5E74" w14:textId="77777777" w:rsidR="0022441A" w:rsidRDefault="002244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E337DF" w14:textId="77777777" w:rsidR="0022441A" w:rsidRDefault="002244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E34B89" w14:textId="77777777" w:rsidR="0022441A" w:rsidRDefault="0081479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2441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83BE4" w14:textId="77777777" w:rsidR="004D48C9" w:rsidRDefault="004D48C9">
      <w:pPr>
        <w:spacing w:after="0" w:line="240" w:lineRule="auto"/>
      </w:pPr>
      <w:r>
        <w:separator/>
      </w:r>
    </w:p>
  </w:endnote>
  <w:endnote w:type="continuationSeparator" w:id="0">
    <w:p w14:paraId="0E0EB53B" w14:textId="77777777" w:rsidR="004D48C9" w:rsidRDefault="004D4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8E253" w14:textId="77777777" w:rsidR="004D48C9" w:rsidRDefault="004D48C9">
      <w:pPr>
        <w:rPr>
          <w:sz w:val="12"/>
        </w:rPr>
      </w:pPr>
      <w:r>
        <w:separator/>
      </w:r>
    </w:p>
  </w:footnote>
  <w:footnote w:type="continuationSeparator" w:id="0">
    <w:p w14:paraId="2D85057E" w14:textId="77777777" w:rsidR="004D48C9" w:rsidRDefault="004D48C9">
      <w:pPr>
        <w:rPr>
          <w:sz w:val="12"/>
        </w:rPr>
      </w:pPr>
      <w:r>
        <w:continuationSeparator/>
      </w:r>
    </w:p>
  </w:footnote>
  <w:footnote w:id="1">
    <w:p w14:paraId="38BFA81A" w14:textId="77777777" w:rsidR="0022441A" w:rsidRDefault="0081479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13819"/>
    <w:multiLevelType w:val="multilevel"/>
    <w:tmpl w:val="AB2402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CE72CC5"/>
    <w:multiLevelType w:val="multilevel"/>
    <w:tmpl w:val="865CFCE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549024116">
    <w:abstractNumId w:val="1"/>
  </w:num>
  <w:num w:numId="2" w16cid:durableId="1318068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1A"/>
    <w:rsid w:val="0004100A"/>
    <w:rsid w:val="0022441A"/>
    <w:rsid w:val="002C7FF6"/>
    <w:rsid w:val="004D48C9"/>
    <w:rsid w:val="004F4BD8"/>
    <w:rsid w:val="005019D8"/>
    <w:rsid w:val="00597102"/>
    <w:rsid w:val="006B0925"/>
    <w:rsid w:val="00814794"/>
    <w:rsid w:val="00A230B2"/>
    <w:rsid w:val="00A231B6"/>
    <w:rsid w:val="00B73E5E"/>
    <w:rsid w:val="00E6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4B82B"/>
  <w15:docId w15:val="{DB7DECC6-1F20-4A3B-9C80-B72C2AC7F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D0C6F-A853-4D34-AEF0-AB2AE48C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1158</Words>
  <Characters>6950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Paweł Balcerak</cp:lastModifiedBy>
  <cp:revision>14</cp:revision>
  <cp:lastPrinted>2019-02-06T12:12:00Z</cp:lastPrinted>
  <dcterms:created xsi:type="dcterms:W3CDTF">2023-10-02T12:20:00Z</dcterms:created>
  <dcterms:modified xsi:type="dcterms:W3CDTF">2025-06-30T09:38:00Z</dcterms:modified>
  <dc:language>pl-PL</dc:language>
</cp:coreProperties>
</file>